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rPr>
          <w:rFonts w:ascii="黑体" w:eastAsia="黑体"/>
          <w:sz w:val="32"/>
          <w:szCs w:val="32"/>
        </w:rPr>
      </w:pPr>
      <w:r>
        <w:rPr>
          <w:rFonts w:hint="eastAsia" w:ascii="黑体" w:eastAsia="黑体"/>
          <w:sz w:val="32"/>
          <w:szCs w:val="32"/>
        </w:rPr>
        <w:t>附件17</w:t>
      </w:r>
    </w:p>
    <w:p>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不合格项目说明</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rPr>
          <w:rFonts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、霉菌和酵母</w:t>
      </w:r>
      <w:bookmarkStart w:id="3" w:name="_GoBack"/>
      <w:bookmarkEnd w:id="3"/>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黑体"/>
          <w:sz w:val="32"/>
          <w:szCs w:val="32"/>
        </w:rPr>
      </w:pPr>
      <w:r>
        <w:rPr>
          <w:rFonts w:hint="eastAsia" w:ascii="仿宋" w:hAnsi="仿宋" w:eastAsia="仿宋" w:cs="仿宋"/>
          <w:color w:val="000000" w:themeColor="text1"/>
          <w:sz w:val="32"/>
          <w:szCs w:val="32"/>
          <w14:textFill>
            <w14:solidFill>
              <w14:schemeClr w14:val="tx1"/>
            </w14:solidFill>
          </w14:textFill>
        </w:rPr>
        <w:t>霉菌和酵母是自然界中常见的真菌，可使食品腐败变质，破坏食品的色、香、味，降低食品的食用价值。《食品安全国家标准 食用淀粉》（GB 31637）规定，</w:t>
      </w:r>
      <w:r>
        <w:rPr>
          <w:rFonts w:hint="eastAsia" w:eastAsia="仿宋_GB2312"/>
          <w:sz w:val="32"/>
          <w:szCs w:val="32"/>
        </w:rPr>
        <w:t>食用淀粉中</w:t>
      </w:r>
      <w:r>
        <w:rPr>
          <w:rFonts w:hint="eastAsia" w:ascii="仿宋" w:hAnsi="仿宋" w:eastAsia="仿宋" w:cs="仿宋"/>
          <w:color w:val="000000" w:themeColor="text1"/>
          <w:sz w:val="32"/>
          <w:szCs w:val="32"/>
          <w14:textFill>
            <w14:solidFill>
              <w14:schemeClr w14:val="tx1"/>
            </w14:solidFill>
          </w14:textFill>
        </w:rPr>
        <w:t>霉菌和酵母应</w:t>
      </w:r>
      <w:r>
        <w:rPr>
          <w:rFonts w:hint="eastAsia" w:ascii="仿宋_GB2312" w:eastAsia="仿宋_GB2312"/>
          <w:bCs/>
          <w:sz w:val="32"/>
          <w:szCs w:val="32"/>
        </w:rPr>
        <w:t>不超过</w:t>
      </w:r>
      <w:r>
        <w:rPr>
          <w:rFonts w:hint="eastAsia" w:ascii="仿宋" w:hAnsi="仿宋" w:eastAsia="仿宋" w:cs="仿宋"/>
          <w:color w:val="000000" w:themeColor="text1"/>
          <w:sz w:val="32"/>
          <w:szCs w:val="32"/>
          <w14:textFill>
            <w14:solidFill>
              <w14:schemeClr w14:val="tx1"/>
            </w14:solidFill>
          </w14:textFill>
        </w:rPr>
        <w:t>10</w:t>
      </w:r>
      <w:r>
        <w:rPr>
          <w:rFonts w:hint="eastAsia" w:ascii="仿宋" w:hAnsi="仿宋" w:eastAsia="仿宋" w:cs="仿宋"/>
          <w:color w:val="000000" w:themeColor="text1"/>
          <w:sz w:val="32"/>
          <w:szCs w:val="32"/>
          <w:vertAlign w:val="superscript"/>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 xml:space="preserve"> CFU/g。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sz w:val="32"/>
          <w:szCs w:val="32"/>
        </w:rPr>
      </w:pPr>
      <w:r>
        <w:rPr>
          <w:rFonts w:hint="eastAsia" w:eastAsia="黑体"/>
          <w:color w:val="000000"/>
          <w:sz w:val="32"/>
          <w:szCs w:val="32"/>
        </w:rPr>
        <w:t>二</w:t>
      </w:r>
      <w:r>
        <w:rPr>
          <w:rFonts w:eastAsia="黑体"/>
          <w:color w:val="000000"/>
          <w:sz w:val="32"/>
          <w:szCs w:val="32"/>
        </w:rPr>
        <w:t>、</w:t>
      </w:r>
      <w:r>
        <w:rPr>
          <w:rFonts w:hint="eastAsia" w:ascii="黑体" w:hAnsi="黑体" w:eastAsia="黑体"/>
          <w:sz w:val="32"/>
          <w:szCs w:val="32"/>
        </w:rPr>
        <w:t>恩诺沙星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仿宋_GB2312" w:eastAsia="仿宋_GB2312"/>
          <w:bCs/>
          <w:sz w:val="32"/>
          <w:szCs w:val="32"/>
        </w:rPr>
      </w:pPr>
      <w:r>
        <w:rPr>
          <w:rFonts w:hint="eastAsia" w:ascii="仿宋_GB2312" w:hAnsi="仿宋_GB2312" w:eastAsia="仿宋_GB2312" w:cs="仿宋_GB2312"/>
          <w:sz w:val="32"/>
          <w:szCs w:val="32"/>
        </w:rPr>
        <w:t>恩诺沙星，又名恩氟奎林羧酸，属于氟喹诺酮类药物，是一种化学合成的广谱抑菌剂，用于治疗动物的皮肤感染、呼吸道感染等，是动物专属用药。</w:t>
      </w:r>
      <w:bookmarkStart w:id="0" w:name="OLE_LINK1"/>
      <w:r>
        <w:rPr>
          <w:rFonts w:hint="eastAsia" w:ascii="仿宋_GB2312" w:eastAsia="仿宋_GB2312"/>
          <w:bCs/>
          <w:sz w:val="32"/>
          <w:szCs w:val="32"/>
        </w:rPr>
        <w:t>《食品安全国家标准 食品中兽药最大残留限量》（</w:t>
      </w:r>
      <w:r>
        <w:rPr>
          <w:rFonts w:ascii="仿宋_GB2312" w:eastAsia="仿宋_GB2312"/>
          <w:bCs/>
          <w:sz w:val="32"/>
          <w:szCs w:val="32"/>
        </w:rPr>
        <w:t>GB 31650</w:t>
      </w:r>
      <w:r>
        <w:rPr>
          <w:rFonts w:hint="eastAsia" w:ascii="仿宋_GB2312" w:eastAsia="仿宋_GB2312"/>
          <w:bCs/>
          <w:sz w:val="32"/>
          <w:szCs w:val="32"/>
        </w:rPr>
        <w:t>）</w:t>
      </w:r>
      <w:bookmarkEnd w:id="0"/>
      <w:r>
        <w:rPr>
          <w:rFonts w:hint="eastAsia" w:ascii="仿宋_GB2312" w:eastAsia="仿宋_GB2312"/>
          <w:bCs/>
          <w:sz w:val="32"/>
          <w:szCs w:val="32"/>
        </w:rPr>
        <w:t>规定，鱼中恩诺沙星(以恩诺沙星与环丙沙星之和计)应不超过100 μg/kg。</w:t>
      </w:r>
    </w:p>
    <w:p>
      <w:pPr>
        <w:pStyle w:val="5"/>
        <w:keepNext w:val="0"/>
        <w:keepLines w:val="0"/>
        <w:pageBreakBefore w:val="0"/>
        <w:widowControl w:val="0"/>
        <w:kinsoku/>
        <w:wordWrap/>
        <w:overflowPunct/>
        <w:topLinePunct w:val="0"/>
        <w:autoSpaceDE/>
        <w:autoSpaceDN/>
        <w:bidi w:val="0"/>
        <w:adjustRightInd/>
        <w:snapToGrid/>
        <w:spacing w:line="560" w:lineRule="exact"/>
        <w:ind w:left="640"/>
        <w:rPr>
          <w:rFonts w:eastAsia="黑体"/>
          <w:color w:val="000000"/>
          <w:sz w:val="32"/>
          <w:szCs w:val="32"/>
        </w:rPr>
      </w:pPr>
      <w:r>
        <w:rPr>
          <w:rFonts w:hint="eastAsia" w:eastAsia="黑体"/>
          <w:color w:val="000000"/>
          <w:sz w:val="32"/>
          <w:szCs w:val="32"/>
        </w:rPr>
        <w:t>三</w:t>
      </w:r>
      <w:r>
        <w:rPr>
          <w:rFonts w:eastAsia="黑体"/>
          <w:color w:val="000000"/>
          <w:sz w:val="32"/>
          <w:szCs w:val="32"/>
        </w:rPr>
        <w:t>、甲拌磷</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rPr>
          <w:rFonts w:ascii="仿宋_GB2312" w:hAnsi="Times New Roman" w:eastAsia="仿宋_GB2312" w:cs="Times New Roman"/>
          <w:bCs/>
          <w:sz w:val="32"/>
          <w:szCs w:val="32"/>
        </w:rPr>
      </w:pPr>
      <w:r>
        <w:rPr>
          <w:rFonts w:ascii="仿宋_GB2312" w:hAnsi="Times New Roman" w:eastAsia="仿宋_GB2312" w:cs="Times New Roman"/>
          <w:bCs/>
          <w:sz w:val="32"/>
          <w:szCs w:val="32"/>
        </w:rPr>
        <w:t>甲拌磷是一种有机磷类内吸杀虫、杀螨剂。农业部规定蔬菜中</w:t>
      </w:r>
      <w:r>
        <w:rPr>
          <w:rFonts w:hint="eastAsia" w:ascii="仿宋_GB2312" w:hAnsi="Times New Roman" w:eastAsia="仿宋_GB2312" w:cs="Times New Roman"/>
          <w:bCs/>
          <w:sz w:val="32"/>
          <w:szCs w:val="32"/>
        </w:rPr>
        <w:t>禁止</w:t>
      </w:r>
      <w:r>
        <w:rPr>
          <w:rFonts w:ascii="仿宋_GB2312" w:hAnsi="Times New Roman" w:eastAsia="仿宋_GB2312" w:cs="Times New Roman"/>
          <w:bCs/>
          <w:sz w:val="32"/>
          <w:szCs w:val="32"/>
        </w:rPr>
        <w:t>使用农药甲拌磷。《</w:t>
      </w:r>
      <w:r>
        <w:rPr>
          <w:rFonts w:hint="eastAsia" w:ascii="仿宋_GB2312" w:hAnsi="Times New Roman" w:eastAsia="仿宋_GB2312" w:cs="Times New Roman"/>
          <w:bCs/>
          <w:sz w:val="32"/>
          <w:szCs w:val="32"/>
        </w:rPr>
        <w:t>食品安全国家标准 食品中农药最大残留限量</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（GB 2763）</w:t>
      </w:r>
      <w:r>
        <w:rPr>
          <w:rFonts w:ascii="仿宋_GB2312" w:hAnsi="Times New Roman" w:eastAsia="仿宋_GB2312" w:cs="Times New Roman"/>
          <w:bCs/>
          <w:sz w:val="32"/>
          <w:szCs w:val="32"/>
        </w:rPr>
        <w:t>规定，</w:t>
      </w:r>
      <w:r>
        <w:rPr>
          <w:rFonts w:hint="eastAsia" w:ascii="仿宋_GB2312" w:hAnsi="Times New Roman" w:eastAsia="仿宋_GB2312" w:cs="Times New Roman"/>
          <w:bCs/>
          <w:sz w:val="32"/>
          <w:szCs w:val="32"/>
        </w:rPr>
        <w:t>叶菜类蔬菜</w:t>
      </w:r>
      <w:r>
        <w:rPr>
          <w:rFonts w:ascii="仿宋_GB2312" w:hAnsi="Times New Roman" w:eastAsia="仿宋_GB2312" w:cs="Times New Roman"/>
          <w:bCs/>
          <w:sz w:val="32"/>
          <w:szCs w:val="32"/>
        </w:rPr>
        <w:t>中甲拌磷的最大残留限量为0.01</w:t>
      </w:r>
      <w:r>
        <w:rPr>
          <w:rFonts w:hint="eastAsia" w:ascii="仿宋_GB2312" w:hAnsi="Times New Roman" w:eastAsia="仿宋_GB2312" w:cs="Times New Roman"/>
          <w:bCs/>
          <w:sz w:val="32"/>
          <w:szCs w:val="32"/>
        </w:rPr>
        <w:t xml:space="preserve"> </w:t>
      </w:r>
      <w:r>
        <w:rPr>
          <w:rFonts w:ascii="仿宋_GB2312" w:hAnsi="Times New Roman" w:eastAsia="仿宋_GB2312" w:cs="Times New Roman"/>
          <w:bCs/>
          <w:sz w:val="32"/>
          <w:szCs w:val="32"/>
        </w:rPr>
        <w:t>mg/kg。</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黑体"/>
          <w:sz w:val="32"/>
          <w:szCs w:val="32"/>
        </w:rPr>
      </w:pPr>
      <w:r>
        <w:rPr>
          <w:rFonts w:hint="eastAsia" w:eastAsia="黑体"/>
          <w:color w:val="000000"/>
          <w:sz w:val="32"/>
          <w:szCs w:val="32"/>
        </w:rPr>
        <w:t>四</w:t>
      </w:r>
      <w:r>
        <w:rPr>
          <w:rFonts w:eastAsia="黑体"/>
          <w:color w:val="000000"/>
          <w:sz w:val="32"/>
          <w:szCs w:val="32"/>
        </w:rPr>
        <w:t>、</w:t>
      </w:r>
      <w:r>
        <w:rPr>
          <w:rFonts w:hint="eastAsia" w:eastAsia="黑体"/>
          <w:sz w:val="32"/>
          <w:szCs w:val="32"/>
        </w:rPr>
        <w:t>大肠杆菌</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bCs/>
          <w:sz w:val="32"/>
          <w:szCs w:val="32"/>
        </w:rPr>
      </w:pPr>
      <w:r>
        <w:rPr>
          <w:rFonts w:hint="eastAsia" w:eastAsia="仿宋_GB2312"/>
          <w:bCs/>
          <w:sz w:val="32"/>
          <w:szCs w:val="32"/>
        </w:rPr>
        <w:t>大肠杆菌广泛存在于人和温血动物的肠道中，作为评价食品卫生状况的指标，推断食品中肠道致病菌污染的可能性。企业标准</w:t>
      </w:r>
      <w:r>
        <w:rPr>
          <w:rFonts w:hint="eastAsia" w:eastAsia="仿宋" w:cs="仿宋"/>
          <w:bCs/>
          <w:sz w:val="32"/>
          <w:szCs w:val="32"/>
        </w:rPr>
        <w:t>《即食鲜切蔬果》（Q/FSNHB 0001-2019）对即食鲜切蔬果规定大肠杆菌应不超过</w:t>
      </w:r>
      <w:r>
        <w:rPr>
          <w:rFonts w:eastAsia="仿宋" w:cs="仿宋"/>
          <w:bCs/>
          <w:sz w:val="32"/>
          <w:szCs w:val="32"/>
        </w:rPr>
        <w:t>100 CFU/g</w:t>
      </w:r>
      <w:r>
        <w:rPr>
          <w:rFonts w:hint="eastAsia" w:eastAsia="仿宋" w:cs="仿宋"/>
          <w:bCs/>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w:t>
      </w:r>
      <w:r>
        <w:rPr>
          <w:rFonts w:ascii="黑体" w:hAnsi="黑体" w:eastAsia="黑体" w:cs="黑体"/>
          <w:bCs/>
          <w:sz w:val="32"/>
          <w:szCs w:val="32"/>
        </w:rPr>
        <w:t>、</w:t>
      </w:r>
      <w:r>
        <w:rPr>
          <w:rFonts w:hint="eastAsia" w:ascii="黑体" w:hAnsi="黑体" w:eastAsia="黑体" w:cs="黑体"/>
          <w:bCs/>
          <w:sz w:val="32"/>
          <w:szCs w:val="32"/>
        </w:rPr>
        <w:t>氟虫腈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氟虫腈是一种苯基吡唑类杀虫剂，对害虫以胃毒作用为主，兼有触杀和一定的内吸作用。《食品安全国家标准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食品中农药最大残留限量》（</w:t>
      </w:r>
      <w:r>
        <w:rPr>
          <w:rFonts w:ascii="Times New Roman" w:hAnsi="Times New Roman" w:eastAsia="仿宋_GB2312" w:cs="Times New Roman"/>
          <w:sz w:val="32"/>
          <w:szCs w:val="32"/>
        </w:rPr>
        <w:t>GB 2763</w:t>
      </w:r>
      <w:r>
        <w:rPr>
          <w:rFonts w:hint="eastAsia" w:ascii="Times New Roman" w:hAnsi="Times New Roman" w:eastAsia="仿宋_GB2312" w:cs="Times New Roman"/>
          <w:sz w:val="32"/>
          <w:szCs w:val="32"/>
        </w:rPr>
        <w:t>）规定，叶菜类蔬菜中氟虫腈的最大残留限量为</w:t>
      </w:r>
      <w:r>
        <w:rPr>
          <w:rFonts w:ascii="Times New Roman" w:hAnsi="Times New Roman" w:eastAsia="仿宋_GB2312" w:cs="Times New Roman"/>
          <w:sz w:val="32"/>
          <w:szCs w:val="32"/>
        </w:rPr>
        <w:t>0.02mg/kg</w:t>
      </w:r>
      <w:r>
        <w:rPr>
          <w:rFonts w:hint="eastAsia"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left="640"/>
        <w:rPr>
          <w:rFonts w:eastAsia="黑体"/>
          <w:color w:val="000000"/>
          <w:sz w:val="32"/>
          <w:szCs w:val="32"/>
        </w:rPr>
      </w:pPr>
      <w:r>
        <w:rPr>
          <w:rFonts w:hint="eastAsia" w:eastAsia="黑体"/>
          <w:color w:val="000000"/>
          <w:sz w:val="32"/>
          <w:szCs w:val="32"/>
        </w:rPr>
        <w:t>六、镉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镉属于重金属污染物指标，联合国环境规划署（DNFP）和国际职业卫生重金属委员会将镉列入重点研究的环境污染物，世界卫生组织（WHO）则将其作为优先研究的食品污染物。《食品安全国家标准 食品中污染物限量》（GB 2762）规定，鲜、冻水产动物甲壳类中镉应不超过0.5 mg/kg。</w:t>
      </w:r>
    </w:p>
    <w:p>
      <w:pPr>
        <w:pStyle w:val="5"/>
        <w:keepNext w:val="0"/>
        <w:keepLines w:val="0"/>
        <w:pageBreakBefore w:val="0"/>
        <w:widowControl w:val="0"/>
        <w:kinsoku/>
        <w:wordWrap/>
        <w:overflowPunct/>
        <w:topLinePunct w:val="0"/>
        <w:autoSpaceDE/>
        <w:autoSpaceDN/>
        <w:bidi w:val="0"/>
        <w:adjustRightInd/>
        <w:snapToGrid/>
        <w:spacing w:line="560" w:lineRule="exact"/>
        <w:ind w:left="64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、氟苯尼考</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 w:eastAsia="仿宋_GB2312" w:cs="Arial"/>
          <w:spacing w:val="-2"/>
          <w:kern w:val="0"/>
          <w:sz w:val="32"/>
          <w:szCs w:val="32"/>
        </w:rPr>
      </w:pPr>
      <w:r>
        <w:rPr>
          <w:rFonts w:ascii="仿宋_GB2312" w:hAnsi="Calibri" w:eastAsia="仿宋_GB2312" w:cs="黑体"/>
          <w:sz w:val="32"/>
          <w:szCs w:val="32"/>
        </w:rPr>
        <w:t>氟苯尼考是一种农业部批准使用的动物专用抗菌药，主要用于敏感细菌所致的猪、鸡、鱼的细菌性疾病，但产蛋家禽禁止使用氟苯尼考。</w:t>
      </w:r>
      <w:r>
        <w:rPr>
          <w:rFonts w:hint="eastAsia" w:ascii="仿宋_GB2312" w:hAnsi="黑体" w:eastAsia="仿宋_GB2312"/>
          <w:sz w:val="32"/>
          <w:szCs w:val="32"/>
        </w:rPr>
        <w:t>《食品安全国家标准 食品中兽药最大残留限</w:t>
      </w:r>
      <w:r>
        <w:rPr>
          <w:rFonts w:hint="eastAsia" w:ascii="仿宋_GB2312" w:hAnsi="??" w:eastAsia="仿宋_GB2312" w:cs="Arial"/>
          <w:spacing w:val="-2"/>
          <w:kern w:val="0"/>
          <w:sz w:val="32"/>
          <w:szCs w:val="32"/>
        </w:rPr>
        <w:t>量》</w:t>
      </w:r>
      <w:r>
        <w:rPr>
          <w:rFonts w:ascii="仿宋_GB2312" w:hAnsi="??" w:eastAsia="仿宋_GB2312" w:cs="Arial"/>
          <w:spacing w:val="-2"/>
          <w:kern w:val="0"/>
          <w:sz w:val="32"/>
          <w:szCs w:val="32"/>
        </w:rPr>
        <w:t>（GB 31650）</w:t>
      </w:r>
      <w:r>
        <w:rPr>
          <w:rFonts w:hint="eastAsia" w:ascii="仿宋_GB2312" w:hAnsi="??" w:eastAsia="仿宋_GB2312" w:cs="Arial"/>
          <w:spacing w:val="-2"/>
          <w:kern w:val="0"/>
          <w:sz w:val="32"/>
          <w:szCs w:val="32"/>
        </w:rPr>
        <w:t>规定，“家禽（产蛋期禁用）”，即鹌鹑蛋中不得检出。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黑体"/>
          <w:color w:val="000000"/>
          <w:sz w:val="32"/>
          <w:szCs w:val="32"/>
        </w:rPr>
      </w:pPr>
      <w:r>
        <w:rPr>
          <w:rFonts w:hint="eastAsia" w:eastAsia="黑体"/>
          <w:color w:val="000000"/>
          <w:sz w:val="32"/>
          <w:szCs w:val="32"/>
        </w:rPr>
        <w:t>八</w:t>
      </w:r>
      <w:r>
        <w:rPr>
          <w:rFonts w:eastAsia="黑体"/>
          <w:color w:val="000000"/>
          <w:sz w:val="32"/>
          <w:szCs w:val="32"/>
        </w:rPr>
        <w:t>、</w:t>
      </w:r>
      <w:r>
        <w:rPr>
          <w:rFonts w:hint="eastAsia" w:eastAsia="黑体"/>
          <w:color w:val="000000"/>
          <w:sz w:val="32"/>
          <w:szCs w:val="32"/>
        </w:rPr>
        <w:t>氯氟氰菊酯和高效氯氟氰菊酯</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氯氟氰菊酯和高效氯氟氰菊酯属拟除虫菊酯类农药，适用防治棉花、花生、大豆、果树、蔬菜、烟草上多种害虫、害螨，也可用于防治多种地表和公共卫生害虫。《食品安全国家标准 食品中农药最大残留限量》（GB 2763）规定，根茎类和薯芋类蔬菜中氯氟氰菊酯和高效氯氟氰菊酯的最大残留限量为</w:t>
      </w:r>
      <w:r>
        <w:rPr>
          <w:rFonts w:hint="eastAsia" w:ascii="仿宋" w:hAnsi="仿宋" w:eastAsia="仿宋" w:cs="仿宋"/>
          <w:color w:val="000000" w:themeColor="text1"/>
          <w:sz w:val="32"/>
          <w:szCs w:val="32"/>
          <w14:textFill>
            <w14:solidFill>
              <w14:schemeClr w14:val="tx1"/>
            </w14:solidFill>
          </w14:textFill>
        </w:rPr>
        <w:t>0.01 mg/kg。</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ascii="黑体" w:hAnsi="黑体" w:eastAsia="黑体" w:cs="Arial"/>
          <w:spacing w:val="-2"/>
          <w:kern w:val="0"/>
          <w:sz w:val="32"/>
          <w:szCs w:val="32"/>
        </w:rPr>
      </w:pPr>
      <w:r>
        <w:rPr>
          <w:rFonts w:hint="eastAsia" w:ascii="黑体" w:hAnsi="黑体" w:eastAsia="黑体" w:cs="Arial"/>
          <w:spacing w:val="-2"/>
          <w:kern w:val="0"/>
          <w:sz w:val="32"/>
          <w:szCs w:val="32"/>
        </w:rPr>
        <w:t>九</w:t>
      </w:r>
      <w:r>
        <w:rPr>
          <w:rFonts w:ascii="黑体" w:hAnsi="黑体" w:eastAsia="黑体" w:cs="Arial"/>
          <w:spacing w:val="-2"/>
          <w:kern w:val="0"/>
          <w:sz w:val="32"/>
          <w:szCs w:val="32"/>
        </w:rPr>
        <w:t>、</w:t>
      </w:r>
      <w:r>
        <w:rPr>
          <w:rFonts w:hint="eastAsia" w:ascii="黑体" w:hAnsi="黑体" w:eastAsia="黑体" w:cs="Arial"/>
          <w:spacing w:val="-2"/>
          <w:kern w:val="0"/>
          <w:sz w:val="32"/>
          <w:szCs w:val="32"/>
        </w:rPr>
        <w:t>还原糖分</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ascii="黑体" w:hAnsi="黑体" w:eastAsia="黑体"/>
          <w:sz w:val="32"/>
          <w:szCs w:val="32"/>
        </w:rPr>
      </w:pPr>
      <w:r>
        <w:rPr>
          <w:rFonts w:hint="eastAsia" w:ascii="仿宋_GB2312" w:hAnsi="??" w:eastAsia="仿宋_GB2312" w:cs="Arial"/>
          <w:spacing w:val="-2"/>
          <w:kern w:val="0"/>
          <w:sz w:val="32"/>
          <w:szCs w:val="32"/>
        </w:rPr>
        <w:t>还原糖分是食糖的质量指标之一，反</w:t>
      </w:r>
      <w:r>
        <w:rPr>
          <w:rFonts w:hint="eastAsia" w:ascii="仿宋_GB2312" w:hAnsi="宋体" w:eastAsia="仿宋_GB2312"/>
          <w:kern w:val="0"/>
          <w:sz w:val="32"/>
          <w:szCs w:val="32"/>
        </w:rPr>
        <w:t>映了食糖中还原糖的含量。还原糖分是区分绵白糖和白砂糖的主要参数之一，绵白糖的外观和口感与还原糖的含量</w:t>
      </w:r>
      <w:r>
        <w:rPr>
          <w:rFonts w:hint="eastAsia" w:eastAsia="仿宋_GB2312"/>
          <w:kern w:val="0"/>
          <w:sz w:val="32"/>
          <w:szCs w:val="32"/>
        </w:rPr>
        <w:t>密切相关。</w:t>
      </w:r>
      <w:bookmarkStart w:id="1" w:name="OLE_LINK3"/>
      <w:r>
        <w:rPr>
          <w:rFonts w:hint="eastAsia" w:eastAsia="仿宋_GB2312"/>
          <w:kern w:val="0"/>
          <w:sz w:val="32"/>
          <w:szCs w:val="32"/>
        </w:rPr>
        <w:t>《绵白糖》</w:t>
      </w:r>
      <w:bookmarkEnd w:id="1"/>
      <w:r>
        <w:rPr>
          <w:rFonts w:hint="eastAsia" w:eastAsia="仿宋_GB2312"/>
          <w:kern w:val="0"/>
          <w:sz w:val="32"/>
          <w:szCs w:val="32"/>
        </w:rPr>
        <w:t>（</w:t>
      </w:r>
      <w:bookmarkStart w:id="2" w:name="OLE_LINK2"/>
      <w:r>
        <w:rPr>
          <w:rFonts w:eastAsia="仿宋_GB2312"/>
          <w:kern w:val="0"/>
          <w:sz w:val="32"/>
          <w:szCs w:val="32"/>
        </w:rPr>
        <w:t>GB/T 1445</w:t>
      </w:r>
      <w:bookmarkEnd w:id="2"/>
      <w:r>
        <w:rPr>
          <w:rFonts w:hint="eastAsia" w:eastAsia="仿宋_GB2312"/>
          <w:kern w:val="0"/>
          <w:sz w:val="32"/>
          <w:szCs w:val="32"/>
        </w:rPr>
        <w:t>）规定，绵白糖中还原糖分为</w:t>
      </w:r>
      <w:r>
        <w:rPr>
          <w:rFonts w:eastAsia="仿宋_GB2312"/>
          <w:kern w:val="0"/>
          <w:sz w:val="32"/>
          <w:szCs w:val="32"/>
        </w:rPr>
        <w:t>1.5</w:t>
      </w:r>
      <w:r>
        <w:rPr>
          <w:rFonts w:hint="eastAsia" w:eastAsia="仿宋_GB2312"/>
          <w:kern w:val="0"/>
          <w:sz w:val="32"/>
          <w:szCs w:val="32"/>
        </w:rPr>
        <w:t xml:space="preserve"> g/100g～</w:t>
      </w:r>
      <w:r>
        <w:rPr>
          <w:rFonts w:eastAsia="仿宋_GB2312"/>
          <w:kern w:val="0"/>
          <w:sz w:val="32"/>
          <w:szCs w:val="32"/>
        </w:rPr>
        <w:t>2.5</w:t>
      </w:r>
      <w:r>
        <w:rPr>
          <w:rFonts w:hint="eastAsia" w:eastAsia="仿宋_GB2312"/>
          <w:kern w:val="0"/>
          <w:sz w:val="32"/>
          <w:szCs w:val="32"/>
        </w:rPr>
        <w:t xml:space="preserve"> g/100g。</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altName w:val="仿宋_GB2312"/>
    <w:panose1 w:val="02010601030101010101"/>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liuQeaJhDDYD0zDXoRpagBLf4kA=" w:salt="MKEygzUBeqVZ89g6XEs04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5B"/>
    <w:rsid w:val="00041F52"/>
    <w:rsid w:val="00044B73"/>
    <w:rsid w:val="00097A7B"/>
    <w:rsid w:val="000D7EF0"/>
    <w:rsid w:val="000E1F3A"/>
    <w:rsid w:val="00156A6A"/>
    <w:rsid w:val="00193AC7"/>
    <w:rsid w:val="00195B79"/>
    <w:rsid w:val="001A7792"/>
    <w:rsid w:val="001C503B"/>
    <w:rsid w:val="001E6FB8"/>
    <w:rsid w:val="00226A84"/>
    <w:rsid w:val="00271DF9"/>
    <w:rsid w:val="00281DFF"/>
    <w:rsid w:val="002C29BF"/>
    <w:rsid w:val="002C6988"/>
    <w:rsid w:val="002D18AD"/>
    <w:rsid w:val="002F11C4"/>
    <w:rsid w:val="002F70B8"/>
    <w:rsid w:val="003A59ED"/>
    <w:rsid w:val="003D5354"/>
    <w:rsid w:val="003F54AC"/>
    <w:rsid w:val="00401B9E"/>
    <w:rsid w:val="0041375B"/>
    <w:rsid w:val="0042091D"/>
    <w:rsid w:val="00423B74"/>
    <w:rsid w:val="00423DEA"/>
    <w:rsid w:val="00461642"/>
    <w:rsid w:val="00476807"/>
    <w:rsid w:val="00482271"/>
    <w:rsid w:val="004A5696"/>
    <w:rsid w:val="004D3F9B"/>
    <w:rsid w:val="00532A67"/>
    <w:rsid w:val="00557F67"/>
    <w:rsid w:val="00582C92"/>
    <w:rsid w:val="00591EC1"/>
    <w:rsid w:val="00605651"/>
    <w:rsid w:val="0066369E"/>
    <w:rsid w:val="00681FEA"/>
    <w:rsid w:val="006854F2"/>
    <w:rsid w:val="006B6528"/>
    <w:rsid w:val="006C1844"/>
    <w:rsid w:val="006D7405"/>
    <w:rsid w:val="006E33D5"/>
    <w:rsid w:val="00704E7E"/>
    <w:rsid w:val="007064CB"/>
    <w:rsid w:val="00721C67"/>
    <w:rsid w:val="00780AFB"/>
    <w:rsid w:val="0080385B"/>
    <w:rsid w:val="00852FBB"/>
    <w:rsid w:val="00857791"/>
    <w:rsid w:val="00884B03"/>
    <w:rsid w:val="008A2085"/>
    <w:rsid w:val="008A510D"/>
    <w:rsid w:val="008F7FDF"/>
    <w:rsid w:val="00905019"/>
    <w:rsid w:val="00907789"/>
    <w:rsid w:val="00917AD6"/>
    <w:rsid w:val="00920F8F"/>
    <w:rsid w:val="0098067D"/>
    <w:rsid w:val="00986AE1"/>
    <w:rsid w:val="009A237D"/>
    <w:rsid w:val="00A1509A"/>
    <w:rsid w:val="00A526A3"/>
    <w:rsid w:val="00A74AF7"/>
    <w:rsid w:val="00AB3A11"/>
    <w:rsid w:val="00AB4B83"/>
    <w:rsid w:val="00AD74FF"/>
    <w:rsid w:val="00AE14B2"/>
    <w:rsid w:val="00AE67E5"/>
    <w:rsid w:val="00AF3FC1"/>
    <w:rsid w:val="00B12BDA"/>
    <w:rsid w:val="00B221D7"/>
    <w:rsid w:val="00B322D3"/>
    <w:rsid w:val="00B42652"/>
    <w:rsid w:val="00B54CFB"/>
    <w:rsid w:val="00B56C94"/>
    <w:rsid w:val="00B667FD"/>
    <w:rsid w:val="00B76396"/>
    <w:rsid w:val="00B93358"/>
    <w:rsid w:val="00BC6168"/>
    <w:rsid w:val="00C02A64"/>
    <w:rsid w:val="00C27CD0"/>
    <w:rsid w:val="00C705BF"/>
    <w:rsid w:val="00CA2C4F"/>
    <w:rsid w:val="00CA4538"/>
    <w:rsid w:val="00D21D50"/>
    <w:rsid w:val="00D86801"/>
    <w:rsid w:val="00DA28FE"/>
    <w:rsid w:val="00E16D44"/>
    <w:rsid w:val="00E554FB"/>
    <w:rsid w:val="00E618F7"/>
    <w:rsid w:val="00E94EC5"/>
    <w:rsid w:val="00EF5489"/>
    <w:rsid w:val="00F26674"/>
    <w:rsid w:val="00F41E45"/>
    <w:rsid w:val="00F47D45"/>
    <w:rsid w:val="00F506A2"/>
    <w:rsid w:val="00F90804"/>
    <w:rsid w:val="00F94A60"/>
    <w:rsid w:val="00FA093B"/>
    <w:rsid w:val="00FB23C3"/>
    <w:rsid w:val="00FE26C6"/>
    <w:rsid w:val="09483C7C"/>
    <w:rsid w:val="102764FF"/>
    <w:rsid w:val="18B018A3"/>
    <w:rsid w:val="1CF347D0"/>
    <w:rsid w:val="2B2614CB"/>
    <w:rsid w:val="2D8C4802"/>
    <w:rsid w:val="2E100838"/>
    <w:rsid w:val="311D2E05"/>
    <w:rsid w:val="357069F0"/>
    <w:rsid w:val="37714620"/>
    <w:rsid w:val="39473A65"/>
    <w:rsid w:val="3D545A7C"/>
    <w:rsid w:val="3E452F8E"/>
    <w:rsid w:val="4ABB422A"/>
    <w:rsid w:val="4B3854D9"/>
    <w:rsid w:val="556278BC"/>
    <w:rsid w:val="55C36911"/>
    <w:rsid w:val="58054B0A"/>
    <w:rsid w:val="587B0306"/>
    <w:rsid w:val="5F6C0DFC"/>
    <w:rsid w:val="613C41A8"/>
    <w:rsid w:val="621E5D60"/>
    <w:rsid w:val="646C7EC4"/>
    <w:rsid w:val="68965191"/>
    <w:rsid w:val="6CF97F62"/>
    <w:rsid w:val="6ECF5C49"/>
    <w:rsid w:val="6F1C5868"/>
    <w:rsid w:val="70C95C99"/>
    <w:rsid w:val="732E63CA"/>
    <w:rsid w:val="733846E6"/>
    <w:rsid w:val="741F11FF"/>
    <w:rsid w:val="792F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73425-71A0-48AA-9DB2-47CE09FEA10D}">
  <ds:schemaRefs/>
</ds:datastoreItem>
</file>

<file path=docProps/app.xml><?xml version="1.0" encoding="utf-8"?>
<Properties xmlns="http://schemas.openxmlformats.org/officeDocument/2006/extended-properties" xmlns:vt="http://schemas.openxmlformats.org/officeDocument/2006/docPropsVTypes">
  <Template>Normal.dotm</Template>
  <Company>CFQS</Company>
  <Pages>3</Pages>
  <Words>172</Words>
  <Characters>983</Characters>
  <Lines>8</Lines>
  <Paragraphs>2</Paragraphs>
  <TotalTime>78</TotalTime>
  <ScaleCrop>false</ScaleCrop>
  <LinksUpToDate>false</LinksUpToDate>
  <CharactersWithSpaces>1153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2020-07-15T03:17:00Z</dcterms:created>
  <dc:creator>1</dc:creator>
  <cp:lastModifiedBy>Administrator</cp:lastModifiedBy>
  <cp:lastPrinted>2020-07-16T02:44:00Z</cp:lastPrinted>
  <dcterms:modified xsi:type="dcterms:W3CDTF">2020-07-25T06:49:47Z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